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6021" w14:textId="40E1123C" w:rsidR="005C2907" w:rsidRPr="00993F1B" w:rsidRDefault="00382123" w:rsidP="000A7D1E">
      <w:pPr>
        <w:pStyle w:val="ListParagraph"/>
        <w:numPr>
          <w:ilvl w:val="0"/>
          <w:numId w:val="1"/>
        </w:numPr>
        <w:tabs>
          <w:tab w:val="left" w:pos="426"/>
        </w:tabs>
        <w:spacing w:before="240"/>
        <w:ind w:left="425" w:right="6" w:hanging="425"/>
        <w:jc w:val="both"/>
      </w:pPr>
      <w:r w:rsidRPr="00993F1B">
        <w:t xml:space="preserve">Under the </w:t>
      </w:r>
      <w:r w:rsidRPr="00993F1B">
        <w:rPr>
          <w:i/>
        </w:rPr>
        <w:t xml:space="preserve">Corporations (Commonwealth Powers) Act 2001 </w:t>
      </w:r>
      <w:r w:rsidRPr="00993F1B">
        <w:t>(the Act), the Parliament of</w:t>
      </w:r>
      <w:r w:rsidRPr="00993F1B">
        <w:rPr>
          <w:spacing w:val="1"/>
        </w:rPr>
        <w:t xml:space="preserve"> </w:t>
      </w:r>
      <w:r w:rsidRPr="00993F1B">
        <w:t>Queensland</w:t>
      </w:r>
      <w:r w:rsidRPr="00993F1B">
        <w:rPr>
          <w:spacing w:val="-11"/>
        </w:rPr>
        <w:t xml:space="preserve"> </w:t>
      </w:r>
      <w:r w:rsidRPr="00993F1B">
        <w:t>referred</w:t>
      </w:r>
      <w:r w:rsidRPr="00993F1B">
        <w:rPr>
          <w:spacing w:val="-10"/>
        </w:rPr>
        <w:t xml:space="preserve"> </w:t>
      </w:r>
      <w:r w:rsidRPr="00993F1B">
        <w:t>to</w:t>
      </w:r>
      <w:r w:rsidRPr="00993F1B">
        <w:rPr>
          <w:spacing w:val="-10"/>
        </w:rPr>
        <w:t xml:space="preserve"> </w:t>
      </w:r>
      <w:r w:rsidRPr="00993F1B">
        <w:t>the</w:t>
      </w:r>
      <w:r w:rsidRPr="00993F1B">
        <w:rPr>
          <w:spacing w:val="-10"/>
        </w:rPr>
        <w:t xml:space="preserve"> </w:t>
      </w:r>
      <w:r w:rsidRPr="00993F1B">
        <w:t>Commonwealth</w:t>
      </w:r>
      <w:r w:rsidRPr="00993F1B">
        <w:rPr>
          <w:spacing w:val="-10"/>
        </w:rPr>
        <w:t xml:space="preserve"> </w:t>
      </w:r>
      <w:r w:rsidRPr="00993F1B">
        <w:t>Parliament</w:t>
      </w:r>
      <w:r w:rsidRPr="00993F1B">
        <w:rPr>
          <w:spacing w:val="-11"/>
        </w:rPr>
        <w:t xml:space="preserve"> </w:t>
      </w:r>
      <w:r w:rsidRPr="00993F1B">
        <w:t>the</w:t>
      </w:r>
      <w:r w:rsidRPr="00993F1B">
        <w:rPr>
          <w:spacing w:val="-10"/>
        </w:rPr>
        <w:t xml:space="preserve"> </w:t>
      </w:r>
      <w:r w:rsidRPr="00993F1B">
        <w:t>powers:</w:t>
      </w:r>
    </w:p>
    <w:p w14:paraId="7FE16023" w14:textId="77777777" w:rsidR="005C2907" w:rsidRPr="00993F1B" w:rsidRDefault="00382123" w:rsidP="000A7D1E">
      <w:pPr>
        <w:pStyle w:val="ListParagraph"/>
        <w:numPr>
          <w:ilvl w:val="1"/>
          <w:numId w:val="1"/>
        </w:numPr>
        <w:tabs>
          <w:tab w:val="left" w:pos="1070"/>
          <w:tab w:val="left" w:pos="1071"/>
        </w:tabs>
        <w:spacing w:before="120" w:line="235" w:lineRule="auto"/>
        <w:ind w:left="850" w:right="6" w:hanging="425"/>
        <w:jc w:val="left"/>
      </w:pPr>
      <w:r w:rsidRPr="00993F1B">
        <w:t>to</w:t>
      </w:r>
      <w:r w:rsidRPr="00993F1B">
        <w:rPr>
          <w:spacing w:val="19"/>
        </w:rPr>
        <w:t xml:space="preserve"> </w:t>
      </w:r>
      <w:r w:rsidRPr="00993F1B">
        <w:t>enact</w:t>
      </w:r>
      <w:r w:rsidRPr="00993F1B">
        <w:rPr>
          <w:spacing w:val="19"/>
        </w:rPr>
        <w:t xml:space="preserve"> </w:t>
      </w:r>
      <w:r w:rsidRPr="00993F1B">
        <w:t>the</w:t>
      </w:r>
      <w:r w:rsidRPr="00993F1B">
        <w:rPr>
          <w:spacing w:val="21"/>
        </w:rPr>
        <w:t xml:space="preserve"> </w:t>
      </w:r>
      <w:r w:rsidRPr="00993F1B">
        <w:rPr>
          <w:i/>
        </w:rPr>
        <w:t>Corporations</w:t>
      </w:r>
      <w:r w:rsidRPr="00993F1B">
        <w:rPr>
          <w:i/>
          <w:spacing w:val="18"/>
        </w:rPr>
        <w:t xml:space="preserve"> </w:t>
      </w:r>
      <w:r w:rsidRPr="00993F1B">
        <w:rPr>
          <w:i/>
        </w:rPr>
        <w:t>Act</w:t>
      </w:r>
      <w:r w:rsidRPr="00993F1B">
        <w:rPr>
          <w:i/>
          <w:spacing w:val="19"/>
        </w:rPr>
        <w:t xml:space="preserve"> </w:t>
      </w:r>
      <w:r w:rsidRPr="00993F1B">
        <w:rPr>
          <w:i/>
        </w:rPr>
        <w:t>2001</w:t>
      </w:r>
      <w:r w:rsidRPr="00993F1B">
        <w:rPr>
          <w:i/>
          <w:spacing w:val="22"/>
        </w:rPr>
        <w:t xml:space="preserve"> </w:t>
      </w:r>
      <w:r w:rsidRPr="00993F1B">
        <w:t>and</w:t>
      </w:r>
      <w:r w:rsidRPr="00993F1B">
        <w:rPr>
          <w:spacing w:val="20"/>
        </w:rPr>
        <w:t xml:space="preserve"> </w:t>
      </w:r>
      <w:r w:rsidRPr="00993F1B">
        <w:t>the</w:t>
      </w:r>
      <w:r w:rsidRPr="00993F1B">
        <w:rPr>
          <w:spacing w:val="21"/>
        </w:rPr>
        <w:t xml:space="preserve"> </w:t>
      </w:r>
      <w:r w:rsidRPr="00993F1B">
        <w:rPr>
          <w:i/>
        </w:rPr>
        <w:t>Australian</w:t>
      </w:r>
      <w:r w:rsidRPr="00993F1B">
        <w:rPr>
          <w:i/>
          <w:spacing w:val="19"/>
        </w:rPr>
        <w:t xml:space="preserve"> </w:t>
      </w:r>
      <w:r w:rsidRPr="00993F1B">
        <w:rPr>
          <w:i/>
        </w:rPr>
        <w:t>Securities</w:t>
      </w:r>
      <w:r w:rsidRPr="00993F1B">
        <w:rPr>
          <w:i/>
          <w:spacing w:val="23"/>
        </w:rPr>
        <w:t xml:space="preserve"> </w:t>
      </w:r>
      <w:r w:rsidRPr="00993F1B">
        <w:rPr>
          <w:i/>
        </w:rPr>
        <w:t>and</w:t>
      </w:r>
      <w:r w:rsidRPr="00993F1B">
        <w:rPr>
          <w:i/>
          <w:spacing w:val="19"/>
        </w:rPr>
        <w:t xml:space="preserve"> </w:t>
      </w:r>
      <w:r w:rsidRPr="00993F1B">
        <w:rPr>
          <w:i/>
        </w:rPr>
        <w:t>Investments</w:t>
      </w:r>
      <w:r w:rsidRPr="00993F1B">
        <w:rPr>
          <w:i/>
          <w:spacing w:val="-58"/>
        </w:rPr>
        <w:t xml:space="preserve"> </w:t>
      </w:r>
      <w:r w:rsidRPr="00993F1B">
        <w:rPr>
          <w:i/>
          <w:spacing w:val="-1"/>
        </w:rPr>
        <w:t>Commission</w:t>
      </w:r>
      <w:r w:rsidRPr="00993F1B">
        <w:rPr>
          <w:i/>
          <w:spacing w:val="-14"/>
        </w:rPr>
        <w:t xml:space="preserve"> </w:t>
      </w:r>
      <w:r w:rsidRPr="00993F1B">
        <w:rPr>
          <w:i/>
          <w:spacing w:val="-1"/>
        </w:rPr>
        <w:t>Act</w:t>
      </w:r>
      <w:r w:rsidRPr="00993F1B">
        <w:rPr>
          <w:i/>
          <w:spacing w:val="-14"/>
        </w:rPr>
        <w:t xml:space="preserve"> </w:t>
      </w:r>
      <w:r w:rsidRPr="00993F1B">
        <w:rPr>
          <w:i/>
          <w:spacing w:val="-1"/>
        </w:rPr>
        <w:t>2001</w:t>
      </w:r>
      <w:r w:rsidRPr="00993F1B">
        <w:rPr>
          <w:i/>
          <w:spacing w:val="-12"/>
        </w:rPr>
        <w:t xml:space="preserve"> </w:t>
      </w:r>
      <w:r w:rsidRPr="00993F1B">
        <w:rPr>
          <w:spacing w:val="-1"/>
        </w:rPr>
        <w:t>as</w:t>
      </w:r>
      <w:r w:rsidRPr="00993F1B">
        <w:rPr>
          <w:spacing w:val="-10"/>
        </w:rPr>
        <w:t xml:space="preserve"> </w:t>
      </w:r>
      <w:r w:rsidRPr="00993F1B">
        <w:rPr>
          <w:spacing w:val="-1"/>
        </w:rPr>
        <w:t>Commonwealth</w:t>
      </w:r>
      <w:r w:rsidRPr="00993F1B">
        <w:rPr>
          <w:spacing w:val="-14"/>
        </w:rPr>
        <w:t xml:space="preserve"> </w:t>
      </w:r>
      <w:r w:rsidRPr="00993F1B">
        <w:rPr>
          <w:spacing w:val="-1"/>
        </w:rPr>
        <w:t>legislation</w:t>
      </w:r>
      <w:r w:rsidRPr="00993F1B">
        <w:rPr>
          <w:spacing w:val="-13"/>
        </w:rPr>
        <w:t xml:space="preserve"> </w:t>
      </w:r>
      <w:r w:rsidRPr="00993F1B">
        <w:rPr>
          <w:spacing w:val="-1"/>
        </w:rPr>
        <w:t>extending</w:t>
      </w:r>
      <w:r w:rsidRPr="00993F1B">
        <w:rPr>
          <w:spacing w:val="-13"/>
        </w:rPr>
        <w:t xml:space="preserve"> </w:t>
      </w:r>
      <w:r w:rsidRPr="00993F1B">
        <w:rPr>
          <w:spacing w:val="-1"/>
        </w:rPr>
        <w:t>to</w:t>
      </w:r>
      <w:r w:rsidRPr="00993F1B">
        <w:rPr>
          <w:spacing w:val="-14"/>
        </w:rPr>
        <w:t xml:space="preserve"> </w:t>
      </w:r>
      <w:r w:rsidRPr="00993F1B">
        <w:rPr>
          <w:spacing w:val="-1"/>
        </w:rPr>
        <w:t>each</w:t>
      </w:r>
      <w:r w:rsidRPr="00993F1B">
        <w:rPr>
          <w:spacing w:val="-13"/>
        </w:rPr>
        <w:t xml:space="preserve"> </w:t>
      </w:r>
      <w:r w:rsidRPr="00993F1B">
        <w:t>State;</w:t>
      </w:r>
      <w:r w:rsidRPr="00993F1B">
        <w:rPr>
          <w:spacing w:val="-14"/>
        </w:rPr>
        <w:t xml:space="preserve"> </w:t>
      </w:r>
      <w:r w:rsidRPr="00993F1B">
        <w:t>and</w:t>
      </w:r>
    </w:p>
    <w:p w14:paraId="7FE16025" w14:textId="08CE2FF2" w:rsidR="005C2907" w:rsidRPr="00993F1B" w:rsidRDefault="00382123" w:rsidP="000A7D1E">
      <w:pPr>
        <w:pStyle w:val="ListParagraph"/>
        <w:numPr>
          <w:ilvl w:val="1"/>
          <w:numId w:val="1"/>
        </w:numPr>
        <w:tabs>
          <w:tab w:val="left" w:pos="1070"/>
          <w:tab w:val="left" w:pos="1071"/>
        </w:tabs>
        <w:spacing w:before="120" w:line="235" w:lineRule="auto"/>
        <w:ind w:left="850" w:right="6" w:hanging="425"/>
        <w:jc w:val="left"/>
      </w:pPr>
      <w:r w:rsidRPr="00993F1B">
        <w:t>to</w:t>
      </w:r>
      <w:r w:rsidRPr="00993F1B">
        <w:rPr>
          <w:spacing w:val="-9"/>
        </w:rPr>
        <w:t xml:space="preserve"> </w:t>
      </w:r>
      <w:r w:rsidRPr="00993F1B">
        <w:t>make</w:t>
      </w:r>
      <w:r w:rsidRPr="00993F1B">
        <w:rPr>
          <w:spacing w:val="-8"/>
        </w:rPr>
        <w:t xml:space="preserve"> </w:t>
      </w:r>
      <w:r w:rsidRPr="00993F1B">
        <w:t>laws</w:t>
      </w:r>
      <w:r w:rsidRPr="00993F1B">
        <w:rPr>
          <w:spacing w:val="-10"/>
        </w:rPr>
        <w:t xml:space="preserve"> </w:t>
      </w:r>
      <w:r w:rsidRPr="00993F1B">
        <w:t>about</w:t>
      </w:r>
      <w:r w:rsidRPr="00993F1B">
        <w:rPr>
          <w:spacing w:val="-9"/>
        </w:rPr>
        <w:t xml:space="preserve"> </w:t>
      </w:r>
      <w:r w:rsidRPr="00993F1B">
        <w:t>forming</w:t>
      </w:r>
      <w:r w:rsidRPr="00993F1B">
        <w:rPr>
          <w:spacing w:val="-9"/>
        </w:rPr>
        <w:t xml:space="preserve"> </w:t>
      </w:r>
      <w:r w:rsidRPr="00993F1B">
        <w:t>corporations,</w:t>
      </w:r>
      <w:r w:rsidRPr="00993F1B">
        <w:rPr>
          <w:spacing w:val="-9"/>
        </w:rPr>
        <w:t xml:space="preserve"> </w:t>
      </w:r>
      <w:r w:rsidRPr="00993F1B">
        <w:t>corporate</w:t>
      </w:r>
      <w:r w:rsidRPr="00993F1B">
        <w:rPr>
          <w:spacing w:val="-8"/>
        </w:rPr>
        <w:t xml:space="preserve"> </w:t>
      </w:r>
      <w:r w:rsidRPr="00993F1B">
        <w:t>regulation</w:t>
      </w:r>
      <w:r w:rsidRPr="00993F1B">
        <w:rPr>
          <w:spacing w:val="-9"/>
        </w:rPr>
        <w:t xml:space="preserve"> </w:t>
      </w:r>
      <w:r w:rsidRPr="00993F1B">
        <w:t>and</w:t>
      </w:r>
      <w:r w:rsidRPr="00993F1B">
        <w:rPr>
          <w:spacing w:val="-8"/>
        </w:rPr>
        <w:t xml:space="preserve"> </w:t>
      </w:r>
      <w:r w:rsidRPr="00993F1B">
        <w:t>financial</w:t>
      </w:r>
      <w:r w:rsidRPr="00993F1B">
        <w:rPr>
          <w:spacing w:val="-11"/>
        </w:rPr>
        <w:t xml:space="preserve"> </w:t>
      </w:r>
      <w:r w:rsidRPr="00993F1B">
        <w:t>products</w:t>
      </w:r>
      <w:r w:rsidRPr="00993F1B">
        <w:rPr>
          <w:spacing w:val="-58"/>
        </w:rPr>
        <w:t xml:space="preserve"> </w:t>
      </w:r>
      <w:r w:rsidR="00763DED">
        <w:rPr>
          <w:spacing w:val="-58"/>
        </w:rPr>
        <w:t xml:space="preserve">  </w:t>
      </w:r>
      <w:r w:rsidRPr="00993F1B">
        <w:t>and</w:t>
      </w:r>
      <w:r w:rsidRPr="00993F1B">
        <w:rPr>
          <w:spacing w:val="-8"/>
        </w:rPr>
        <w:t xml:space="preserve"> </w:t>
      </w:r>
      <w:r w:rsidRPr="00993F1B">
        <w:t>services.</w:t>
      </w:r>
    </w:p>
    <w:p w14:paraId="7FE16027" w14:textId="0DD0BC40" w:rsidR="005C2907" w:rsidRPr="00993F1B" w:rsidRDefault="00382123" w:rsidP="000A7D1E">
      <w:pPr>
        <w:pStyle w:val="ListParagraph"/>
        <w:numPr>
          <w:ilvl w:val="0"/>
          <w:numId w:val="1"/>
        </w:numPr>
        <w:tabs>
          <w:tab w:val="left" w:pos="426"/>
        </w:tabs>
        <w:spacing w:before="240"/>
        <w:ind w:left="425" w:right="6" w:hanging="425"/>
        <w:jc w:val="both"/>
      </w:pPr>
      <w:r w:rsidRPr="00993F1B">
        <w:t>Section 5 of the Act provides for the references to terminate on the day that is the fifth</w:t>
      </w:r>
      <w:r w:rsidRPr="00993F1B">
        <w:rPr>
          <w:spacing w:val="1"/>
        </w:rPr>
        <w:t xml:space="preserve"> </w:t>
      </w:r>
      <w:r w:rsidRPr="00993F1B">
        <w:t>anniversary of the day of commencement of the Commonwealth Corporations legislation</w:t>
      </w:r>
      <w:r w:rsidRPr="00993F1B">
        <w:rPr>
          <w:spacing w:val="1"/>
        </w:rPr>
        <w:t xml:space="preserve"> </w:t>
      </w:r>
      <w:r w:rsidRPr="00993F1B">
        <w:t>under the initial reference, or on a later day fixed by the Governor by proclamation under</w:t>
      </w:r>
      <w:r w:rsidRPr="00993F1B">
        <w:rPr>
          <w:spacing w:val="1"/>
        </w:rPr>
        <w:t xml:space="preserve"> </w:t>
      </w:r>
      <w:r w:rsidRPr="00993F1B">
        <w:rPr>
          <w:spacing w:val="-2"/>
        </w:rPr>
        <w:t>section</w:t>
      </w:r>
      <w:r w:rsidRPr="00993F1B">
        <w:rPr>
          <w:spacing w:val="-12"/>
        </w:rPr>
        <w:t xml:space="preserve"> </w:t>
      </w:r>
      <w:r w:rsidRPr="00993F1B">
        <w:rPr>
          <w:spacing w:val="-2"/>
        </w:rPr>
        <w:t>6.</w:t>
      </w:r>
      <w:r w:rsidRPr="00993F1B">
        <w:rPr>
          <w:spacing w:val="-12"/>
        </w:rPr>
        <w:t xml:space="preserve"> </w:t>
      </w:r>
      <w:r w:rsidRPr="00993F1B">
        <w:rPr>
          <w:spacing w:val="-2"/>
        </w:rPr>
        <w:t>By</w:t>
      </w:r>
      <w:r w:rsidRPr="00993F1B">
        <w:rPr>
          <w:spacing w:val="-13"/>
        </w:rPr>
        <w:t xml:space="preserve"> </w:t>
      </w:r>
      <w:r w:rsidRPr="00993F1B">
        <w:rPr>
          <w:spacing w:val="-2"/>
        </w:rPr>
        <w:t>proclamation</w:t>
      </w:r>
      <w:r w:rsidRPr="00993F1B">
        <w:rPr>
          <w:spacing w:val="-10"/>
        </w:rPr>
        <w:t xml:space="preserve"> </w:t>
      </w:r>
      <w:r w:rsidRPr="00993F1B">
        <w:rPr>
          <w:spacing w:val="-2"/>
        </w:rPr>
        <w:t>dated</w:t>
      </w:r>
      <w:r w:rsidRPr="00993F1B">
        <w:rPr>
          <w:spacing w:val="-10"/>
        </w:rPr>
        <w:t xml:space="preserve"> </w:t>
      </w:r>
      <w:r w:rsidRPr="00993F1B">
        <w:rPr>
          <w:spacing w:val="-1"/>
        </w:rPr>
        <w:t>27</w:t>
      </w:r>
      <w:r w:rsidRPr="00993F1B">
        <w:rPr>
          <w:spacing w:val="-7"/>
        </w:rPr>
        <w:t xml:space="preserve"> </w:t>
      </w:r>
      <w:r w:rsidRPr="00993F1B">
        <w:rPr>
          <w:spacing w:val="-1"/>
        </w:rPr>
        <w:t>May</w:t>
      </w:r>
      <w:r w:rsidRPr="00993F1B">
        <w:rPr>
          <w:spacing w:val="-13"/>
        </w:rPr>
        <w:t xml:space="preserve"> </w:t>
      </w:r>
      <w:r w:rsidRPr="00993F1B">
        <w:rPr>
          <w:spacing w:val="-1"/>
        </w:rPr>
        <w:t>2016,</w:t>
      </w:r>
      <w:r w:rsidRPr="00993F1B">
        <w:rPr>
          <w:spacing w:val="-13"/>
        </w:rPr>
        <w:t xml:space="preserve"> </w:t>
      </w:r>
      <w:r w:rsidRPr="00993F1B">
        <w:rPr>
          <w:spacing w:val="-1"/>
        </w:rPr>
        <w:t>the</w:t>
      </w:r>
      <w:r w:rsidRPr="00993F1B">
        <w:rPr>
          <w:spacing w:val="-6"/>
        </w:rPr>
        <w:t xml:space="preserve"> </w:t>
      </w:r>
      <w:r w:rsidRPr="00993F1B">
        <w:rPr>
          <w:spacing w:val="-1"/>
        </w:rPr>
        <w:t>Governor</w:t>
      </w:r>
      <w:r w:rsidRPr="00993F1B">
        <w:rPr>
          <w:spacing w:val="-14"/>
        </w:rPr>
        <w:t xml:space="preserve"> </w:t>
      </w:r>
      <w:r w:rsidRPr="00993F1B">
        <w:rPr>
          <w:spacing w:val="-1"/>
        </w:rPr>
        <w:t>fixed</w:t>
      </w:r>
      <w:r w:rsidRPr="00993F1B">
        <w:rPr>
          <w:spacing w:val="-12"/>
        </w:rPr>
        <w:t xml:space="preserve"> </w:t>
      </w:r>
      <w:r w:rsidRPr="00993F1B">
        <w:rPr>
          <w:spacing w:val="-1"/>
        </w:rPr>
        <w:t>15</w:t>
      </w:r>
      <w:r w:rsidRPr="00993F1B">
        <w:rPr>
          <w:spacing w:val="-7"/>
        </w:rPr>
        <w:t xml:space="preserve"> </w:t>
      </w:r>
      <w:r w:rsidRPr="00993F1B">
        <w:rPr>
          <w:spacing w:val="-1"/>
        </w:rPr>
        <w:t>July</w:t>
      </w:r>
      <w:r w:rsidRPr="00993F1B">
        <w:rPr>
          <w:spacing w:val="-8"/>
        </w:rPr>
        <w:t xml:space="preserve"> </w:t>
      </w:r>
      <w:r w:rsidRPr="00993F1B">
        <w:rPr>
          <w:spacing w:val="-1"/>
        </w:rPr>
        <w:t>2021</w:t>
      </w:r>
      <w:r w:rsidRPr="00993F1B">
        <w:rPr>
          <w:spacing w:val="-11"/>
        </w:rPr>
        <w:t xml:space="preserve"> </w:t>
      </w:r>
      <w:r w:rsidRPr="00993F1B">
        <w:rPr>
          <w:spacing w:val="-1"/>
        </w:rPr>
        <w:t>as</w:t>
      </w:r>
      <w:r w:rsidRPr="00993F1B">
        <w:rPr>
          <w:spacing w:val="-14"/>
        </w:rPr>
        <w:t xml:space="preserve"> </w:t>
      </w:r>
      <w:r w:rsidRPr="00993F1B">
        <w:rPr>
          <w:spacing w:val="-1"/>
        </w:rPr>
        <w:t>the</w:t>
      </w:r>
      <w:r w:rsidRPr="00993F1B">
        <w:rPr>
          <w:spacing w:val="-6"/>
        </w:rPr>
        <w:t xml:space="preserve"> </w:t>
      </w:r>
      <w:r w:rsidRPr="00993F1B">
        <w:rPr>
          <w:spacing w:val="-1"/>
        </w:rPr>
        <w:t>date</w:t>
      </w:r>
      <w:r w:rsidR="000E6648">
        <w:rPr>
          <w:spacing w:val="-1"/>
        </w:rPr>
        <w:t xml:space="preserve"> </w:t>
      </w:r>
      <w:r w:rsidRPr="00993F1B">
        <w:rPr>
          <w:spacing w:val="-59"/>
        </w:rPr>
        <w:t xml:space="preserve"> </w:t>
      </w:r>
      <w:r w:rsidR="000E6648">
        <w:rPr>
          <w:spacing w:val="-59"/>
        </w:rPr>
        <w:t xml:space="preserve">     </w:t>
      </w:r>
      <w:r w:rsidRPr="00993F1B">
        <w:t>on</w:t>
      </w:r>
      <w:r w:rsidRPr="00993F1B">
        <w:rPr>
          <w:spacing w:val="-9"/>
        </w:rPr>
        <w:t xml:space="preserve"> </w:t>
      </w:r>
      <w:r w:rsidRPr="00993F1B">
        <w:t>which</w:t>
      </w:r>
      <w:r w:rsidRPr="00993F1B">
        <w:rPr>
          <w:spacing w:val="-8"/>
        </w:rPr>
        <w:t xml:space="preserve"> </w:t>
      </w:r>
      <w:r w:rsidRPr="00993F1B">
        <w:t>the</w:t>
      </w:r>
      <w:r w:rsidRPr="00993F1B">
        <w:rPr>
          <w:spacing w:val="-8"/>
        </w:rPr>
        <w:t xml:space="preserve"> </w:t>
      </w:r>
      <w:r w:rsidRPr="00993F1B">
        <w:t>current</w:t>
      </w:r>
      <w:r w:rsidRPr="00993F1B">
        <w:rPr>
          <w:spacing w:val="-4"/>
        </w:rPr>
        <w:t xml:space="preserve"> </w:t>
      </w:r>
      <w:r w:rsidRPr="00993F1B">
        <w:t>references</w:t>
      </w:r>
      <w:r w:rsidRPr="00993F1B">
        <w:rPr>
          <w:spacing w:val="-11"/>
        </w:rPr>
        <w:t xml:space="preserve"> </w:t>
      </w:r>
      <w:r w:rsidRPr="00993F1B">
        <w:t>terminate.</w:t>
      </w:r>
    </w:p>
    <w:p w14:paraId="0FB8FFBA" w14:textId="2D64FBEC" w:rsidR="00151046" w:rsidRPr="00993F1B" w:rsidRDefault="009A66AF" w:rsidP="000A7D1E">
      <w:pPr>
        <w:pStyle w:val="ListParagraph"/>
        <w:numPr>
          <w:ilvl w:val="0"/>
          <w:numId w:val="1"/>
        </w:numPr>
        <w:tabs>
          <w:tab w:val="left" w:pos="426"/>
        </w:tabs>
        <w:spacing w:before="240"/>
        <w:ind w:left="425" w:right="6" w:hanging="425"/>
        <w:jc w:val="both"/>
        <w:rPr>
          <w:i/>
        </w:rPr>
      </w:pPr>
      <w:r>
        <w:t>A</w:t>
      </w:r>
      <w:r w:rsidR="00151046" w:rsidRPr="00993F1B">
        <w:t xml:space="preserve"> further ten-year extension, as permitted by section 6(2) of the Act, is necessary for Queensland’s continued participation in the national scheme and for Queensland companies to operate and conduct their business with certainty.</w:t>
      </w:r>
    </w:p>
    <w:p w14:paraId="71837CBE" w14:textId="321A3D88" w:rsidR="00500AA2" w:rsidRPr="00993F1B" w:rsidRDefault="00B956AB" w:rsidP="000A7D1E">
      <w:pPr>
        <w:pStyle w:val="ListParagraph"/>
        <w:numPr>
          <w:ilvl w:val="0"/>
          <w:numId w:val="1"/>
        </w:numPr>
        <w:tabs>
          <w:tab w:val="left" w:pos="426"/>
        </w:tabs>
        <w:spacing w:before="240"/>
        <w:ind w:left="425" w:right="6" w:hanging="425"/>
        <w:jc w:val="both"/>
        <w:rPr>
          <w:iCs/>
        </w:rPr>
      </w:pPr>
      <w:r w:rsidRPr="0069385B">
        <w:rPr>
          <w:u w:val="single"/>
        </w:rPr>
        <w:t>Cabinet</w:t>
      </w:r>
      <w:r w:rsidRPr="0069385B">
        <w:rPr>
          <w:iCs/>
          <w:u w:val="single"/>
        </w:rPr>
        <w:t xml:space="preserve"> agree</w:t>
      </w:r>
      <w:r w:rsidR="001E63AB" w:rsidRPr="0069385B">
        <w:rPr>
          <w:iCs/>
          <w:u w:val="single"/>
        </w:rPr>
        <w:t>d</w:t>
      </w:r>
      <w:r w:rsidRPr="00993F1B">
        <w:rPr>
          <w:iCs/>
        </w:rPr>
        <w:t xml:space="preserve"> that the references under the </w:t>
      </w:r>
      <w:r w:rsidRPr="00993F1B">
        <w:rPr>
          <w:i/>
        </w:rPr>
        <w:t>Corporations (Commonwealth Powers) Act 2001</w:t>
      </w:r>
      <w:r w:rsidRPr="00993F1B">
        <w:rPr>
          <w:iCs/>
        </w:rPr>
        <w:t xml:space="preserve"> be extended for a further ten-year period</w:t>
      </w:r>
      <w:r w:rsidR="001E63AB" w:rsidRPr="00993F1B">
        <w:rPr>
          <w:iCs/>
        </w:rPr>
        <w:t>.</w:t>
      </w:r>
    </w:p>
    <w:p w14:paraId="7FE16029" w14:textId="162153B2" w:rsidR="005C2907" w:rsidRPr="00993F1B" w:rsidRDefault="00382123" w:rsidP="000A7D1E">
      <w:pPr>
        <w:pStyle w:val="ListParagraph"/>
        <w:numPr>
          <w:ilvl w:val="0"/>
          <w:numId w:val="1"/>
        </w:numPr>
        <w:tabs>
          <w:tab w:val="left" w:pos="426"/>
        </w:tabs>
        <w:spacing w:before="240"/>
        <w:ind w:left="425" w:right="6" w:hanging="425"/>
        <w:jc w:val="both"/>
        <w:rPr>
          <w:i/>
        </w:rPr>
      </w:pPr>
      <w:r w:rsidRPr="00993F1B">
        <w:rPr>
          <w:u w:val="single"/>
        </w:rPr>
        <w:t>Cabinet</w:t>
      </w:r>
      <w:r w:rsidRPr="00993F1B">
        <w:rPr>
          <w:spacing w:val="-11"/>
          <w:u w:val="single"/>
        </w:rPr>
        <w:t xml:space="preserve"> </w:t>
      </w:r>
      <w:r w:rsidRPr="00780BFB">
        <w:rPr>
          <w:u w:val="single"/>
        </w:rPr>
        <w:t>endorse</w:t>
      </w:r>
      <w:r w:rsidR="00202015" w:rsidRPr="00780BFB">
        <w:rPr>
          <w:u w:val="single"/>
        </w:rPr>
        <w:t>d</w:t>
      </w:r>
      <w:r w:rsidRPr="00993F1B">
        <w:rPr>
          <w:spacing w:val="-6"/>
        </w:rPr>
        <w:t xml:space="preserve"> </w:t>
      </w:r>
      <w:r w:rsidRPr="00993F1B">
        <w:t>that</w:t>
      </w:r>
      <w:r w:rsidRPr="00993F1B">
        <w:rPr>
          <w:spacing w:val="-10"/>
        </w:rPr>
        <w:t xml:space="preserve"> </w:t>
      </w:r>
      <w:r w:rsidRPr="00993F1B">
        <w:t>a</w:t>
      </w:r>
      <w:r w:rsidRPr="00993F1B">
        <w:rPr>
          <w:spacing w:val="-11"/>
        </w:rPr>
        <w:t xml:space="preserve"> </w:t>
      </w:r>
      <w:r w:rsidRPr="00993F1B">
        <w:t>proclamation</w:t>
      </w:r>
      <w:r w:rsidRPr="00993F1B">
        <w:rPr>
          <w:spacing w:val="-10"/>
        </w:rPr>
        <w:t xml:space="preserve"> </w:t>
      </w:r>
      <w:r w:rsidRPr="00993F1B">
        <w:t>fixing</w:t>
      </w:r>
      <w:r w:rsidRPr="00993F1B">
        <w:rPr>
          <w:spacing w:val="-10"/>
        </w:rPr>
        <w:t xml:space="preserve"> </w:t>
      </w:r>
      <w:r w:rsidRPr="00993F1B">
        <w:t>15</w:t>
      </w:r>
      <w:r w:rsidRPr="00993F1B">
        <w:rPr>
          <w:spacing w:val="-10"/>
        </w:rPr>
        <w:t xml:space="preserve"> </w:t>
      </w:r>
      <w:r w:rsidRPr="00993F1B">
        <w:t>July</w:t>
      </w:r>
      <w:r w:rsidRPr="00993F1B">
        <w:rPr>
          <w:spacing w:val="-7"/>
        </w:rPr>
        <w:t xml:space="preserve"> </w:t>
      </w:r>
      <w:r w:rsidRPr="00993F1B">
        <w:t>2031</w:t>
      </w:r>
      <w:r w:rsidRPr="00993F1B">
        <w:rPr>
          <w:spacing w:val="-10"/>
        </w:rPr>
        <w:t xml:space="preserve"> </w:t>
      </w:r>
      <w:r w:rsidRPr="00993F1B">
        <w:t>as</w:t>
      </w:r>
      <w:r w:rsidRPr="00993F1B">
        <w:rPr>
          <w:spacing w:val="-11"/>
        </w:rPr>
        <w:t xml:space="preserve"> </w:t>
      </w:r>
      <w:r w:rsidRPr="00993F1B">
        <w:t>the</w:t>
      </w:r>
      <w:r w:rsidRPr="00993F1B">
        <w:rPr>
          <w:spacing w:val="-10"/>
        </w:rPr>
        <w:t xml:space="preserve"> </w:t>
      </w:r>
      <w:r w:rsidRPr="00993F1B">
        <w:t>new</w:t>
      </w:r>
      <w:r w:rsidRPr="00993F1B">
        <w:rPr>
          <w:spacing w:val="-9"/>
        </w:rPr>
        <w:t xml:space="preserve"> </w:t>
      </w:r>
      <w:r w:rsidRPr="00993F1B">
        <w:t>termination</w:t>
      </w:r>
      <w:r w:rsidR="000E6648">
        <w:t xml:space="preserve"> </w:t>
      </w:r>
      <w:r w:rsidRPr="00993F1B">
        <w:t>date for the references under section 6 of the Act be recommended to the Governor for</w:t>
      </w:r>
      <w:r w:rsidRPr="00993F1B">
        <w:rPr>
          <w:spacing w:val="1"/>
        </w:rPr>
        <w:t xml:space="preserve"> </w:t>
      </w:r>
      <w:r w:rsidRPr="00993F1B">
        <w:t>approval.</w:t>
      </w:r>
    </w:p>
    <w:p w14:paraId="7FE1602B" w14:textId="12FE77AE" w:rsidR="005C2907" w:rsidRPr="00993F1B" w:rsidRDefault="0037512B" w:rsidP="000A7D1E">
      <w:pPr>
        <w:pStyle w:val="ListParagraph"/>
        <w:numPr>
          <w:ilvl w:val="0"/>
          <w:numId w:val="1"/>
        </w:numPr>
        <w:tabs>
          <w:tab w:val="left" w:pos="426"/>
        </w:tabs>
        <w:spacing w:before="360"/>
        <w:ind w:left="425" w:right="6" w:hanging="425"/>
        <w:jc w:val="both"/>
        <w:rPr>
          <w:i/>
        </w:rPr>
      </w:pPr>
      <w:r w:rsidRPr="00993F1B">
        <w:rPr>
          <w:i/>
          <w:iCs/>
          <w:u w:val="single"/>
        </w:rPr>
        <w:t>Attachments</w:t>
      </w:r>
      <w:r w:rsidRPr="00993F1B">
        <w:t>:</w:t>
      </w:r>
    </w:p>
    <w:p w14:paraId="00D5D384" w14:textId="14BD091A" w:rsidR="0037512B" w:rsidRPr="00956455" w:rsidRDefault="001823D9" w:rsidP="000A7D1E">
      <w:pPr>
        <w:pStyle w:val="ListParagraph"/>
        <w:numPr>
          <w:ilvl w:val="0"/>
          <w:numId w:val="2"/>
        </w:numPr>
        <w:tabs>
          <w:tab w:val="left" w:pos="426"/>
        </w:tabs>
        <w:spacing w:before="120"/>
        <w:ind w:left="782" w:right="6" w:hanging="357"/>
        <w:jc w:val="left"/>
        <w:rPr>
          <w:iCs/>
        </w:rPr>
      </w:pPr>
      <w:hyperlink r:id="rId10" w:history="1">
        <w:r w:rsidR="00CC409B" w:rsidRPr="00843626">
          <w:rPr>
            <w:rStyle w:val="Hyperlink"/>
            <w:iCs/>
          </w:rPr>
          <w:t>Proclamation</w:t>
        </w:r>
        <w:r w:rsidR="005E2924" w:rsidRPr="00843626">
          <w:rPr>
            <w:rStyle w:val="Hyperlink"/>
            <w:iCs/>
          </w:rPr>
          <w:t xml:space="preserve"> </w:t>
        </w:r>
        <w:r w:rsidR="00AF1A0B" w:rsidRPr="00843626">
          <w:rPr>
            <w:rStyle w:val="Hyperlink"/>
            <w:iCs/>
          </w:rPr>
          <w:t>No.</w:t>
        </w:r>
        <w:r w:rsidR="0027529E" w:rsidRPr="00843626">
          <w:rPr>
            <w:rStyle w:val="Hyperlink"/>
            <w:iCs/>
          </w:rPr>
          <w:t xml:space="preserve">95 </w:t>
        </w:r>
        <w:r w:rsidR="00512AF8" w:rsidRPr="00843626">
          <w:rPr>
            <w:rStyle w:val="Hyperlink"/>
            <w:iCs/>
          </w:rPr>
          <w:t>-</w:t>
        </w:r>
        <w:r w:rsidR="005E2924" w:rsidRPr="00843626">
          <w:rPr>
            <w:rStyle w:val="Hyperlink"/>
            <w:iCs/>
          </w:rPr>
          <w:t xml:space="preserve"> </w:t>
        </w:r>
        <w:r w:rsidR="00512AF8" w:rsidRPr="00843626">
          <w:rPr>
            <w:rStyle w:val="Hyperlink"/>
            <w:i/>
          </w:rPr>
          <w:t>Corporations (Commonwealth Powers) Act 2001</w:t>
        </w:r>
      </w:hyperlink>
    </w:p>
    <w:p w14:paraId="1AEFF4FB" w14:textId="1F52A464" w:rsidR="00512AF8" w:rsidRDefault="001823D9" w:rsidP="000A7D1E">
      <w:pPr>
        <w:pStyle w:val="ListParagraph"/>
        <w:numPr>
          <w:ilvl w:val="0"/>
          <w:numId w:val="2"/>
        </w:numPr>
        <w:tabs>
          <w:tab w:val="left" w:pos="426"/>
        </w:tabs>
        <w:spacing w:before="120"/>
        <w:ind w:left="782" w:right="6" w:hanging="357"/>
        <w:jc w:val="left"/>
        <w:rPr>
          <w:iCs/>
        </w:rPr>
      </w:pPr>
      <w:hyperlink r:id="rId11" w:history="1">
        <w:r w:rsidR="00512AF8" w:rsidRPr="00843626">
          <w:rPr>
            <w:rStyle w:val="Hyperlink"/>
            <w:iCs/>
          </w:rPr>
          <w:t>Explanatory Notes</w:t>
        </w:r>
      </w:hyperlink>
    </w:p>
    <w:p w14:paraId="79B493E8" w14:textId="126EC81F" w:rsidR="00512AF8" w:rsidRPr="00993F1B" w:rsidRDefault="001823D9" w:rsidP="000A7D1E">
      <w:pPr>
        <w:pStyle w:val="ListParagraph"/>
        <w:numPr>
          <w:ilvl w:val="0"/>
          <w:numId w:val="2"/>
        </w:numPr>
        <w:tabs>
          <w:tab w:val="left" w:pos="426"/>
        </w:tabs>
        <w:spacing w:before="120"/>
        <w:ind w:left="782" w:right="6" w:hanging="357"/>
        <w:jc w:val="left"/>
        <w:rPr>
          <w:iCs/>
        </w:rPr>
      </w:pPr>
      <w:hyperlink r:id="rId12" w:history="1">
        <w:r w:rsidR="00512AF8" w:rsidRPr="001962A1">
          <w:rPr>
            <w:rStyle w:val="Hyperlink"/>
            <w:iCs/>
          </w:rPr>
          <w:t>Human Rights Certificate</w:t>
        </w:r>
      </w:hyperlink>
    </w:p>
    <w:sectPr w:rsidR="00512AF8" w:rsidRPr="00993F1B" w:rsidSect="000A7D1E">
      <w:headerReference w:type="default" r:id="rId13"/>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FA78" w14:textId="77777777" w:rsidR="00CD654D" w:rsidRDefault="00CD654D" w:rsidP="002032F8">
      <w:r>
        <w:separator/>
      </w:r>
    </w:p>
  </w:endnote>
  <w:endnote w:type="continuationSeparator" w:id="0">
    <w:p w14:paraId="74D83E33" w14:textId="77777777" w:rsidR="00CD654D" w:rsidRDefault="00CD654D" w:rsidP="0020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B68E" w14:textId="77777777" w:rsidR="00CD654D" w:rsidRDefault="00CD654D" w:rsidP="002032F8">
      <w:r>
        <w:separator/>
      </w:r>
    </w:p>
  </w:footnote>
  <w:footnote w:type="continuationSeparator" w:id="0">
    <w:p w14:paraId="04156BD4" w14:textId="77777777" w:rsidR="00CD654D" w:rsidRDefault="00CD654D" w:rsidP="0020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5BE7" w14:textId="77777777" w:rsidR="002032F8" w:rsidRPr="00937A4A" w:rsidRDefault="002032F8" w:rsidP="002032F8">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A53B0DE" w14:textId="77777777" w:rsidR="002032F8" w:rsidRPr="00937A4A" w:rsidRDefault="002032F8" w:rsidP="002032F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07B5098C" w14:textId="561FF006" w:rsidR="002032F8" w:rsidRPr="00937A4A" w:rsidRDefault="002032F8" w:rsidP="002032F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June 2021</w:t>
    </w:r>
  </w:p>
  <w:p w14:paraId="473BEB9E" w14:textId="1A821429" w:rsidR="002032F8" w:rsidRDefault="002032F8" w:rsidP="002032F8">
    <w:pPr>
      <w:pStyle w:val="Header"/>
      <w:spacing w:before="120"/>
      <w:rPr>
        <w:b/>
        <w:u w:val="single"/>
      </w:rPr>
    </w:pPr>
    <w:r>
      <w:rPr>
        <w:b/>
        <w:u w:val="single"/>
      </w:rPr>
      <w:t>Proclamation</w:t>
    </w:r>
    <w:r>
      <w:rPr>
        <w:b/>
        <w:spacing w:val="-4"/>
        <w:u w:val="single"/>
      </w:rPr>
      <w:t xml:space="preserve"> </w:t>
    </w:r>
    <w:r>
      <w:rPr>
        <w:b/>
        <w:u w:val="single"/>
      </w:rPr>
      <w:t>under</w:t>
    </w:r>
    <w:r>
      <w:rPr>
        <w:b/>
        <w:spacing w:val="-2"/>
        <w:u w:val="single"/>
      </w:rPr>
      <w:t xml:space="preserve"> </w:t>
    </w:r>
    <w:r>
      <w:rPr>
        <w:b/>
        <w:u w:val="single"/>
      </w:rPr>
      <w:t>the</w:t>
    </w:r>
    <w:r>
      <w:rPr>
        <w:b/>
        <w:spacing w:val="2"/>
        <w:u w:val="single"/>
      </w:rPr>
      <w:t xml:space="preserve"> </w:t>
    </w:r>
    <w:r>
      <w:rPr>
        <w:b/>
        <w:i/>
        <w:u w:val="single"/>
      </w:rPr>
      <w:t>Corporations</w:t>
    </w:r>
    <w:r>
      <w:rPr>
        <w:b/>
        <w:i/>
        <w:spacing w:val="-1"/>
        <w:u w:val="single"/>
      </w:rPr>
      <w:t xml:space="preserve"> </w:t>
    </w:r>
    <w:r>
      <w:rPr>
        <w:b/>
        <w:i/>
        <w:u w:val="single"/>
      </w:rPr>
      <w:t>(Commonwealth</w:t>
    </w:r>
    <w:r>
      <w:rPr>
        <w:b/>
        <w:i/>
        <w:spacing w:val="-3"/>
        <w:u w:val="single"/>
      </w:rPr>
      <w:t xml:space="preserve"> </w:t>
    </w:r>
    <w:r>
      <w:rPr>
        <w:b/>
        <w:i/>
        <w:u w:val="single"/>
      </w:rPr>
      <w:t>Powers)</w:t>
    </w:r>
    <w:r>
      <w:rPr>
        <w:b/>
        <w:i/>
        <w:spacing w:val="-4"/>
        <w:u w:val="single"/>
      </w:rPr>
      <w:t xml:space="preserve"> </w:t>
    </w:r>
    <w:r>
      <w:rPr>
        <w:b/>
        <w:i/>
        <w:u w:val="single"/>
      </w:rPr>
      <w:t>Act</w:t>
    </w:r>
    <w:r>
      <w:rPr>
        <w:b/>
        <w:i/>
        <w:spacing w:val="-9"/>
        <w:u w:val="single"/>
      </w:rPr>
      <w:t xml:space="preserve"> </w:t>
    </w:r>
    <w:r>
      <w:rPr>
        <w:b/>
        <w:i/>
        <w:u w:val="single"/>
      </w:rPr>
      <w:t>2001</w:t>
    </w:r>
  </w:p>
  <w:p w14:paraId="60CAE93C" w14:textId="70345428" w:rsidR="002032F8" w:rsidRPr="002032F8" w:rsidRDefault="002032F8" w:rsidP="002032F8">
    <w:pPr>
      <w:pStyle w:val="Header"/>
      <w:spacing w:before="120"/>
      <w:rPr>
        <w:b/>
        <w:bCs/>
        <w:u w:val="single"/>
      </w:rPr>
    </w:pPr>
    <w:r w:rsidRPr="002032F8">
      <w:rPr>
        <w:b/>
        <w:bCs/>
        <w:u w:val="single"/>
      </w:rPr>
      <w:t>Attorney-General and Minister for Justice, Minister for Women and Minister for the</w:t>
    </w:r>
    <w:r w:rsidRPr="002032F8">
      <w:rPr>
        <w:b/>
        <w:bCs/>
        <w:spacing w:val="-59"/>
      </w:rPr>
      <w:t xml:space="preserve"> </w:t>
    </w:r>
    <w:r w:rsidRPr="002032F8">
      <w:rPr>
        <w:b/>
        <w:bCs/>
        <w:u w:val="single"/>
      </w:rPr>
      <w:t>Prevention</w:t>
    </w:r>
    <w:r w:rsidRPr="002032F8">
      <w:rPr>
        <w:b/>
        <w:bCs/>
        <w:spacing w:val="-1"/>
        <w:u w:val="single"/>
      </w:rPr>
      <w:t xml:space="preserve"> </w:t>
    </w:r>
    <w:r w:rsidRPr="002032F8">
      <w:rPr>
        <w:b/>
        <w:bCs/>
        <w:u w:val="single"/>
      </w:rPr>
      <w:t>of</w:t>
    </w:r>
    <w:r w:rsidRPr="002032F8">
      <w:rPr>
        <w:b/>
        <w:bCs/>
        <w:spacing w:val="-1"/>
        <w:u w:val="single"/>
      </w:rPr>
      <w:t xml:space="preserve"> </w:t>
    </w:r>
    <w:r w:rsidRPr="002032F8">
      <w:rPr>
        <w:b/>
        <w:bCs/>
        <w:u w:val="single"/>
      </w:rPr>
      <w:t>Domestic</w:t>
    </w:r>
    <w:r w:rsidRPr="002032F8">
      <w:rPr>
        <w:b/>
        <w:bCs/>
        <w:spacing w:val="-2"/>
        <w:u w:val="single"/>
      </w:rPr>
      <w:t xml:space="preserve"> </w:t>
    </w:r>
    <w:r w:rsidRPr="002032F8">
      <w:rPr>
        <w:b/>
        <w:bCs/>
        <w:u w:val="single"/>
      </w:rPr>
      <w:t>and Family</w:t>
    </w:r>
    <w:r w:rsidRPr="002032F8">
      <w:rPr>
        <w:b/>
        <w:bCs/>
        <w:spacing w:val="-2"/>
        <w:u w:val="single"/>
      </w:rPr>
      <w:t xml:space="preserve"> </w:t>
    </w:r>
    <w:r w:rsidRPr="002032F8">
      <w:rPr>
        <w:b/>
        <w:bCs/>
        <w:u w:val="single"/>
      </w:rPr>
      <w:t>Violence</w:t>
    </w:r>
  </w:p>
  <w:p w14:paraId="63627EA8" w14:textId="77777777" w:rsidR="002032F8" w:rsidRDefault="002032F8" w:rsidP="002032F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A32"/>
    <w:multiLevelType w:val="hybridMultilevel"/>
    <w:tmpl w:val="A4B2D3A2"/>
    <w:lvl w:ilvl="0" w:tplc="7FEAB7CC">
      <w:start w:val="1"/>
      <w:numFmt w:val="decimal"/>
      <w:lvlText w:val="%1."/>
      <w:lvlJc w:val="left"/>
      <w:pPr>
        <w:ind w:left="580" w:hanging="360"/>
        <w:jc w:val="left"/>
      </w:pPr>
      <w:rPr>
        <w:rFonts w:hint="default"/>
        <w:i w:val="0"/>
        <w:iCs/>
        <w:spacing w:val="-3"/>
        <w:w w:val="100"/>
        <w:lang w:val="en-AU" w:eastAsia="en-US" w:bidi="ar-SA"/>
      </w:rPr>
    </w:lvl>
    <w:lvl w:ilvl="1" w:tplc="EA52F91E">
      <w:numFmt w:val="bullet"/>
      <w:lvlText w:val=""/>
      <w:lvlJc w:val="left"/>
      <w:pPr>
        <w:ind w:left="1070" w:hanging="423"/>
      </w:pPr>
      <w:rPr>
        <w:rFonts w:ascii="Symbol" w:eastAsia="Symbol" w:hAnsi="Symbol" w:cs="Symbol" w:hint="default"/>
        <w:b w:val="0"/>
        <w:bCs w:val="0"/>
        <w:i w:val="0"/>
        <w:iCs w:val="0"/>
        <w:w w:val="100"/>
        <w:sz w:val="22"/>
        <w:szCs w:val="22"/>
        <w:lang w:val="en-AU" w:eastAsia="en-US" w:bidi="ar-SA"/>
      </w:rPr>
    </w:lvl>
    <w:lvl w:ilvl="2" w:tplc="784C666E">
      <w:numFmt w:val="bullet"/>
      <w:lvlText w:val="•"/>
      <w:lvlJc w:val="left"/>
      <w:pPr>
        <w:ind w:left="2011" w:hanging="423"/>
      </w:pPr>
      <w:rPr>
        <w:rFonts w:hint="default"/>
        <w:lang w:val="en-AU" w:eastAsia="en-US" w:bidi="ar-SA"/>
      </w:rPr>
    </w:lvl>
    <w:lvl w:ilvl="3" w:tplc="201E8998">
      <w:numFmt w:val="bullet"/>
      <w:lvlText w:val="•"/>
      <w:lvlJc w:val="left"/>
      <w:pPr>
        <w:ind w:left="2943" w:hanging="423"/>
      </w:pPr>
      <w:rPr>
        <w:rFonts w:hint="default"/>
        <w:lang w:val="en-AU" w:eastAsia="en-US" w:bidi="ar-SA"/>
      </w:rPr>
    </w:lvl>
    <w:lvl w:ilvl="4" w:tplc="1DCA105A">
      <w:numFmt w:val="bullet"/>
      <w:lvlText w:val="•"/>
      <w:lvlJc w:val="left"/>
      <w:pPr>
        <w:ind w:left="3874" w:hanging="423"/>
      </w:pPr>
      <w:rPr>
        <w:rFonts w:hint="default"/>
        <w:lang w:val="en-AU" w:eastAsia="en-US" w:bidi="ar-SA"/>
      </w:rPr>
    </w:lvl>
    <w:lvl w:ilvl="5" w:tplc="D0DE49A2">
      <w:numFmt w:val="bullet"/>
      <w:lvlText w:val="•"/>
      <w:lvlJc w:val="left"/>
      <w:pPr>
        <w:ind w:left="4806" w:hanging="423"/>
      </w:pPr>
      <w:rPr>
        <w:rFonts w:hint="default"/>
        <w:lang w:val="en-AU" w:eastAsia="en-US" w:bidi="ar-SA"/>
      </w:rPr>
    </w:lvl>
    <w:lvl w:ilvl="6" w:tplc="37D078A8">
      <w:numFmt w:val="bullet"/>
      <w:lvlText w:val="•"/>
      <w:lvlJc w:val="left"/>
      <w:pPr>
        <w:ind w:left="5737" w:hanging="423"/>
      </w:pPr>
      <w:rPr>
        <w:rFonts w:hint="default"/>
        <w:lang w:val="en-AU" w:eastAsia="en-US" w:bidi="ar-SA"/>
      </w:rPr>
    </w:lvl>
    <w:lvl w:ilvl="7" w:tplc="4F3E6B96">
      <w:numFmt w:val="bullet"/>
      <w:lvlText w:val="•"/>
      <w:lvlJc w:val="left"/>
      <w:pPr>
        <w:ind w:left="6669" w:hanging="423"/>
      </w:pPr>
      <w:rPr>
        <w:rFonts w:hint="default"/>
        <w:lang w:val="en-AU" w:eastAsia="en-US" w:bidi="ar-SA"/>
      </w:rPr>
    </w:lvl>
    <w:lvl w:ilvl="8" w:tplc="E8D6F3A0">
      <w:numFmt w:val="bullet"/>
      <w:lvlText w:val="•"/>
      <w:lvlJc w:val="left"/>
      <w:pPr>
        <w:ind w:left="7600" w:hanging="423"/>
      </w:pPr>
      <w:rPr>
        <w:rFonts w:hint="default"/>
        <w:lang w:val="en-AU" w:eastAsia="en-US" w:bidi="ar-SA"/>
      </w:rPr>
    </w:lvl>
  </w:abstractNum>
  <w:abstractNum w:abstractNumId="1" w15:restartNumberingAfterBreak="0">
    <w:nsid w:val="2FB03BE3"/>
    <w:multiLevelType w:val="hybridMultilevel"/>
    <w:tmpl w:val="81F622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07"/>
    <w:rsid w:val="00047C36"/>
    <w:rsid w:val="000A7D1E"/>
    <w:rsid w:val="000E6648"/>
    <w:rsid w:val="00151046"/>
    <w:rsid w:val="001823D9"/>
    <w:rsid w:val="001962A1"/>
    <w:rsid w:val="001E63AB"/>
    <w:rsid w:val="001F5A84"/>
    <w:rsid w:val="00202015"/>
    <w:rsid w:val="002032F8"/>
    <w:rsid w:val="0027529E"/>
    <w:rsid w:val="0037512B"/>
    <w:rsid w:val="00382123"/>
    <w:rsid w:val="004A6E69"/>
    <w:rsid w:val="00500AA2"/>
    <w:rsid w:val="00512AF8"/>
    <w:rsid w:val="005C2907"/>
    <w:rsid w:val="005C7CA2"/>
    <w:rsid w:val="005E2924"/>
    <w:rsid w:val="00600C14"/>
    <w:rsid w:val="00622460"/>
    <w:rsid w:val="0068400C"/>
    <w:rsid w:val="0069385B"/>
    <w:rsid w:val="00763DED"/>
    <w:rsid w:val="00780BFB"/>
    <w:rsid w:val="007E0403"/>
    <w:rsid w:val="00843626"/>
    <w:rsid w:val="00872A79"/>
    <w:rsid w:val="00875C9B"/>
    <w:rsid w:val="008F40D4"/>
    <w:rsid w:val="00956455"/>
    <w:rsid w:val="00993F1B"/>
    <w:rsid w:val="009A66AF"/>
    <w:rsid w:val="00A14AA8"/>
    <w:rsid w:val="00AF1A0B"/>
    <w:rsid w:val="00B956AB"/>
    <w:rsid w:val="00BC324D"/>
    <w:rsid w:val="00BE40BA"/>
    <w:rsid w:val="00CB10A7"/>
    <w:rsid w:val="00CC409B"/>
    <w:rsid w:val="00CC46B8"/>
    <w:rsid w:val="00CD654D"/>
    <w:rsid w:val="00D05CDF"/>
    <w:rsid w:val="00DA130F"/>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before="1"/>
      <w:ind w:left="119" w:right="18"/>
      <w:jc w:val="center"/>
      <w:outlineLvl w:val="0"/>
    </w:pPr>
    <w:rPr>
      <w:b/>
      <w:bCs/>
      <w:sz w:val="28"/>
      <w:szCs w:val="28"/>
    </w:rPr>
  </w:style>
  <w:style w:type="paragraph" w:styleId="Heading2">
    <w:name w:val="heading 2"/>
    <w:basedOn w:val="Normal"/>
    <w:uiPriority w:val="9"/>
    <w:unhideWhenUsed/>
    <w:qFormat/>
    <w:pPr>
      <w:spacing w:before="67"/>
      <w:ind w:right="21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1"/>
      <w:ind w:left="119" w:right="103"/>
      <w:jc w:val="center"/>
    </w:pPr>
    <w:rPr>
      <w:b/>
      <w:bCs/>
      <w:sz w:val="56"/>
      <w:szCs w:val="56"/>
    </w:rPr>
  </w:style>
  <w:style w:type="paragraph" w:styleId="ListParagraph">
    <w:name w:val="List Paragraph"/>
    <w:basedOn w:val="Normal"/>
    <w:uiPriority w:val="1"/>
    <w:qFormat/>
    <w:pPr>
      <w:ind w:left="580" w:right="21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32F8"/>
    <w:pPr>
      <w:tabs>
        <w:tab w:val="center" w:pos="4680"/>
        <w:tab w:val="right" w:pos="9360"/>
      </w:tabs>
    </w:pPr>
  </w:style>
  <w:style w:type="character" w:customStyle="1" w:styleId="HeaderChar">
    <w:name w:val="Header Char"/>
    <w:basedOn w:val="DefaultParagraphFont"/>
    <w:link w:val="Header"/>
    <w:uiPriority w:val="99"/>
    <w:rsid w:val="002032F8"/>
    <w:rPr>
      <w:rFonts w:ascii="Arial" w:eastAsia="Arial" w:hAnsi="Arial" w:cs="Arial"/>
      <w:lang w:val="en-AU"/>
    </w:rPr>
  </w:style>
  <w:style w:type="paragraph" w:styleId="Footer">
    <w:name w:val="footer"/>
    <w:basedOn w:val="Normal"/>
    <w:link w:val="FooterChar"/>
    <w:uiPriority w:val="99"/>
    <w:unhideWhenUsed/>
    <w:rsid w:val="002032F8"/>
    <w:pPr>
      <w:tabs>
        <w:tab w:val="center" w:pos="4680"/>
        <w:tab w:val="right" w:pos="9360"/>
      </w:tabs>
    </w:pPr>
  </w:style>
  <w:style w:type="character" w:customStyle="1" w:styleId="FooterChar">
    <w:name w:val="Footer Char"/>
    <w:basedOn w:val="DefaultParagraphFont"/>
    <w:link w:val="Footer"/>
    <w:uiPriority w:val="99"/>
    <w:rsid w:val="002032F8"/>
    <w:rPr>
      <w:rFonts w:ascii="Arial" w:eastAsia="Arial" w:hAnsi="Arial" w:cs="Arial"/>
      <w:lang w:val="en-AU"/>
    </w:rPr>
  </w:style>
  <w:style w:type="paragraph" w:customStyle="1" w:styleId="Default">
    <w:name w:val="Default"/>
    <w:rsid w:val="00151046"/>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03"/>
    <w:rPr>
      <w:rFonts w:ascii="Segoe UI" w:eastAsia="Arial" w:hAnsi="Segoe UI" w:cs="Segoe UI"/>
      <w:sz w:val="18"/>
      <w:szCs w:val="18"/>
      <w:lang w:val="en-AU"/>
    </w:rPr>
  </w:style>
  <w:style w:type="character" w:styleId="Hyperlink">
    <w:name w:val="Hyperlink"/>
    <w:basedOn w:val="DefaultParagraphFont"/>
    <w:uiPriority w:val="99"/>
    <w:unhideWhenUsed/>
    <w:rsid w:val="00843626"/>
    <w:rPr>
      <w:color w:val="0000FF" w:themeColor="hyperlink"/>
      <w:u w:val="single"/>
    </w:rPr>
  </w:style>
  <w:style w:type="character" w:styleId="UnresolvedMention">
    <w:name w:val="Unresolved Mention"/>
    <w:basedOn w:val="DefaultParagraphFont"/>
    <w:uiPriority w:val="99"/>
    <w:semiHidden/>
    <w:unhideWhenUsed/>
    <w:rsid w:val="0084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HR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Procla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3E439-6B42-4F77-B0B5-BA3A60EFF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646A7-4798-42C7-B87E-BCFF06A8EBCA}">
  <ds:schemaRefs>
    <ds:schemaRef ds:uri="http://schemas.microsoft.com/sharepoint/v3/contenttype/forms"/>
  </ds:schemaRefs>
</ds:datastoreItem>
</file>

<file path=customXml/itemProps3.xml><?xml version="1.0" encoding="utf-8"?>
<ds:datastoreItem xmlns:ds="http://schemas.openxmlformats.org/officeDocument/2006/customXml" ds:itemID="{92591573-E343-4CE3-91A0-4A09CB952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227</Words>
  <Characters>1258</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1487</CharactersWithSpaces>
  <SharedDoc>false</SharedDoc>
  <HyperlinkBase>https://www.cabinet.qld.gov.au/documents/2021/Jun/Corporations Law Proclamation/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creator/>
  <cp:lastModifiedBy/>
  <cp:revision>9</cp:revision>
  <dcterms:created xsi:type="dcterms:W3CDTF">2021-12-03T02:33:00Z</dcterms:created>
  <dcterms:modified xsi:type="dcterms:W3CDTF">2022-03-10T06:44:00Z</dcterms:modified>
  <cp:category>Business,Legislation,Regulation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for Microsoft 365</vt:lpwstr>
  </property>
  <property fmtid="{D5CDD505-2E9C-101B-9397-08002B2CF9AE}" pid="4" name="LastSaved">
    <vt:filetime>2021-06-10T00:00:00Z</vt:filetime>
  </property>
  <property fmtid="{D5CDD505-2E9C-101B-9397-08002B2CF9AE}" pid="5" name="ContentTypeId">
    <vt:lpwstr>0x010100DDE14CFDD070B24F85F5DE43654FF01E</vt:lpwstr>
  </property>
</Properties>
</file>